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2"/>
          <w:szCs w:val="32"/>
        </w:rPr>
      </w:pPr>
      <w:r w:rsidDel="00000000" w:rsidR="00000000" w:rsidRPr="00000000">
        <w:rPr>
          <w:b w:val="1"/>
          <w:sz w:val="32"/>
          <w:szCs w:val="32"/>
          <w:rtl w:val="0"/>
        </w:rPr>
        <w:t xml:space="preserve">Worksheet 2: Optimizing mining revenues and alignment with SDMP for improved local development planning</w:t>
      </w:r>
    </w:p>
    <w:p w:rsidR="00000000" w:rsidDel="00000000" w:rsidP="00000000" w:rsidRDefault="00000000" w:rsidRPr="00000000" w14:paraId="00000002">
      <w:pPr>
        <w:spacing w:after="240" w:before="240" w:lineRule="auto"/>
        <w:rPr/>
      </w:pPr>
      <w:r w:rsidDel="00000000" w:rsidR="00000000" w:rsidRPr="00000000">
        <w:rPr>
          <w:rtl w:val="0"/>
        </w:rPr>
        <w:t xml:space="preserve">This workshop will engage participants to compute the shares from national wealth of local government units (LGUs), particularly the barangay. They will also review the mining company’s Community Needs Assessment report and 5-year Social Development and Management Program (SDMP) to propose a project that complements the SDMP and addresses unmet needs in the community without duplicating existing initiatives.</w:t>
      </w:r>
    </w:p>
    <w:p w:rsidR="00000000" w:rsidDel="00000000" w:rsidP="00000000" w:rsidRDefault="00000000" w:rsidRPr="00000000" w14:paraId="00000003">
      <w:pPr>
        <w:spacing w:after="240" w:before="240" w:lineRule="auto"/>
        <w:rPr/>
      </w:pPr>
      <w:r w:rsidDel="00000000" w:rsidR="00000000" w:rsidRPr="00000000">
        <w:rPr>
          <w:b w:val="1"/>
          <w:rtl w:val="0"/>
        </w:rPr>
        <w:t xml:space="preserve">Group Number:</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ind w:left="0" w:firstLine="0"/>
        <w:rPr>
          <w:b w:val="1"/>
          <w:i w:val="1"/>
          <w:color w:val="000000"/>
          <w:sz w:val="22"/>
          <w:szCs w:val="22"/>
          <w:u w:val="single"/>
        </w:rPr>
      </w:pPr>
      <w:bookmarkStart w:colFirst="0" w:colLast="0" w:name="_heading=h.gjdgxs" w:id="0"/>
      <w:bookmarkEnd w:id="0"/>
      <w:r w:rsidDel="00000000" w:rsidR="00000000" w:rsidRPr="00000000">
        <w:rPr>
          <w:b w:val="1"/>
          <w:i w:val="1"/>
          <w:color w:val="000000"/>
          <w:sz w:val="22"/>
          <w:szCs w:val="22"/>
          <w:u w:val="single"/>
          <w:rtl w:val="0"/>
        </w:rPr>
        <w:t xml:space="preserve">Section 1: Computing the Barangay’s Share</w:t>
      </w:r>
    </w:p>
    <w:p w:rsidR="00000000" w:rsidDel="00000000" w:rsidP="00000000" w:rsidRDefault="00000000" w:rsidRPr="00000000" w14:paraId="00000005">
      <w:pPr>
        <w:numPr>
          <w:ilvl w:val="0"/>
          <w:numId w:val="1"/>
        </w:numPr>
        <w:spacing w:after="0" w:before="240" w:lineRule="auto"/>
        <w:ind w:left="720" w:hanging="360"/>
        <w:rPr>
          <w:i w:val="1"/>
        </w:rPr>
      </w:pPr>
      <w:r w:rsidDel="00000000" w:rsidR="00000000" w:rsidRPr="00000000">
        <w:rPr>
          <w:b w:val="1"/>
          <w:i w:val="1"/>
          <w:rtl w:val="0"/>
        </w:rPr>
        <w:t xml:space="preserve">Total Excise Tax on MInerals Made by the Mining Company:</w:t>
        <w:br w:type="textWrapping"/>
      </w:r>
      <w:r w:rsidDel="00000000" w:rsidR="00000000" w:rsidRPr="00000000">
        <w:rPr>
          <w:i w:val="1"/>
          <w:rtl w:val="0"/>
        </w:rPr>
        <w:t xml:space="preserve">(Get the total excise tax on minerals from the Philippine EITI Report for fiscal year 2018 Carmen Copper Corporation):</w:t>
      </w:r>
    </w:p>
    <w:p w:rsidR="00000000" w:rsidDel="00000000" w:rsidP="00000000" w:rsidRDefault="00000000" w:rsidRPr="00000000" w14:paraId="00000006">
      <w:pPr>
        <w:numPr>
          <w:ilvl w:val="1"/>
          <w:numId w:val="1"/>
        </w:numPr>
        <w:spacing w:after="240" w:before="0" w:lineRule="auto"/>
        <w:ind w:left="1440" w:hanging="360"/>
        <w:rPr>
          <w:i w:val="1"/>
        </w:rPr>
      </w:pPr>
      <w:r w:rsidDel="00000000" w:rsidR="00000000" w:rsidRPr="00000000">
        <w:rPr>
          <w:i w:val="1"/>
          <w:rtl w:val="0"/>
        </w:rPr>
        <w:t xml:space="preserve">TOTAL EXCISE TAX ON MINERALS: </w:t>
      </w:r>
      <w:r w:rsidDel="00000000" w:rsidR="00000000" w:rsidRPr="00000000">
        <w:rPr>
          <w:i w:val="1"/>
          <w:u w:val="single"/>
          <w:rtl w:val="0"/>
        </w:rPr>
        <w:t xml:space="preserve">PHP 567,512,963.76</w:t>
        <w:tab/>
        <w:tab/>
        <w:tab/>
      </w:r>
      <w:r w:rsidDel="00000000" w:rsidR="00000000" w:rsidRPr="00000000">
        <w:rPr>
          <w:rtl w:val="0"/>
        </w:rPr>
      </w:r>
    </w:p>
    <w:p w:rsidR="00000000" w:rsidDel="00000000" w:rsidP="00000000" w:rsidRDefault="00000000" w:rsidRPr="00000000" w14:paraId="00000007">
      <w:pPr>
        <w:numPr>
          <w:ilvl w:val="0"/>
          <w:numId w:val="1"/>
        </w:numPr>
        <w:spacing w:after="0" w:before="240" w:lineRule="auto"/>
        <w:ind w:left="720" w:hanging="360"/>
        <w:rPr>
          <w:i w:val="1"/>
        </w:rPr>
      </w:pPr>
      <w:r w:rsidDel="00000000" w:rsidR="00000000" w:rsidRPr="00000000">
        <w:rPr>
          <w:b w:val="1"/>
          <w:i w:val="1"/>
          <w:rtl w:val="0"/>
        </w:rPr>
        <w:t xml:space="preserve">Share of Barangay (using LGU revenue share formula):</w:t>
        <w:br w:type="textWrapping"/>
      </w:r>
      <w:r w:rsidDel="00000000" w:rsidR="00000000" w:rsidRPr="00000000">
        <w:rPr>
          <w:i w:val="1"/>
          <w:rtl w:val="0"/>
        </w:rPr>
        <w:t xml:space="preserve">(Apply the formula to compute the share for the barangay based on national wealth. Use the percentages mandated for barangay shares from mining revenues.)</w:t>
      </w:r>
    </w:p>
    <w:p w:rsidR="00000000" w:rsidDel="00000000" w:rsidP="00000000" w:rsidRDefault="00000000" w:rsidRPr="00000000" w14:paraId="00000008">
      <w:pPr>
        <w:numPr>
          <w:ilvl w:val="1"/>
          <w:numId w:val="1"/>
        </w:numPr>
        <w:spacing w:after="0" w:before="0" w:lineRule="auto"/>
        <w:ind w:left="1440" w:hanging="360"/>
        <w:rPr>
          <w:i w:val="1"/>
        </w:rPr>
      </w:pPr>
      <w:r w:rsidDel="00000000" w:rsidR="00000000" w:rsidRPr="00000000">
        <w:rPr>
          <w:b w:val="1"/>
          <w:i w:val="1"/>
          <w:rtl w:val="0"/>
        </w:rPr>
        <w:t xml:space="preserve">Formula:</w:t>
        <w:br w:type="textWrapping"/>
      </w:r>
      <w:r w:rsidDel="00000000" w:rsidR="00000000" w:rsidRPr="00000000">
        <w:rPr>
          <w:i w:val="1"/>
          <w:rtl w:val="0"/>
        </w:rPr>
        <w:t xml:space="preserve">(Total Payments from National Wealth) x (Percentage for Barangay)</w:t>
      </w:r>
    </w:p>
    <w:p w:rsidR="00000000" w:rsidDel="00000000" w:rsidP="00000000" w:rsidRDefault="00000000" w:rsidRPr="00000000" w14:paraId="00000009">
      <w:pPr>
        <w:numPr>
          <w:ilvl w:val="2"/>
          <w:numId w:val="1"/>
        </w:numPr>
        <w:spacing w:after="0" w:before="0" w:lineRule="auto"/>
        <w:ind w:left="2160" w:hanging="360"/>
        <w:rPr>
          <w:i w:val="1"/>
        </w:rPr>
      </w:pPr>
      <w:r w:rsidDel="00000000" w:rsidR="00000000" w:rsidRPr="00000000">
        <w:rPr>
          <w:i w:val="1"/>
          <w:rtl w:val="0"/>
        </w:rPr>
        <w:t xml:space="preserve">TOTAL EXCISE TAX ON MINERALS: </w:t>
      </w:r>
      <w:r w:rsidDel="00000000" w:rsidR="00000000" w:rsidRPr="00000000">
        <w:rPr>
          <w:i w:val="1"/>
          <w:u w:val="single"/>
          <w:rtl w:val="0"/>
        </w:rPr>
        <w:t xml:space="preserve">PHP 567,512,963.76</w:t>
        <w:tab/>
        <w:tab/>
      </w:r>
      <w:r w:rsidDel="00000000" w:rsidR="00000000" w:rsidRPr="00000000">
        <w:rPr>
          <w:rtl w:val="0"/>
        </w:rPr>
      </w:r>
    </w:p>
    <w:p w:rsidR="00000000" w:rsidDel="00000000" w:rsidP="00000000" w:rsidRDefault="00000000" w:rsidRPr="00000000" w14:paraId="0000000A">
      <w:pPr>
        <w:numPr>
          <w:ilvl w:val="2"/>
          <w:numId w:val="1"/>
        </w:numPr>
        <w:spacing w:after="0" w:before="0" w:lineRule="auto"/>
        <w:ind w:left="2160" w:hanging="360"/>
        <w:rPr>
          <w:i w:val="1"/>
        </w:rPr>
      </w:pPr>
      <w:r w:rsidDel="00000000" w:rsidR="00000000" w:rsidRPr="00000000">
        <w:rPr>
          <w:i w:val="1"/>
          <w:rtl w:val="0"/>
        </w:rPr>
        <w:t xml:space="preserve">LGU SHARES: (40%): </w:t>
      </w:r>
      <w:r w:rsidDel="00000000" w:rsidR="00000000" w:rsidRPr="00000000">
        <w:rPr>
          <w:i w:val="1"/>
          <w:u w:val="single"/>
          <w:rtl w:val="0"/>
        </w:rPr>
        <w:tab/>
        <w:tab/>
        <w:tab/>
        <w:tab/>
        <w:tab/>
        <w:tab/>
        <w:tab/>
      </w:r>
      <w:r w:rsidDel="00000000" w:rsidR="00000000" w:rsidRPr="00000000">
        <w:rPr>
          <w:rtl w:val="0"/>
        </w:rPr>
      </w:r>
    </w:p>
    <w:p w:rsidR="00000000" w:rsidDel="00000000" w:rsidP="00000000" w:rsidRDefault="00000000" w:rsidRPr="00000000" w14:paraId="0000000B">
      <w:pPr>
        <w:numPr>
          <w:ilvl w:val="1"/>
          <w:numId w:val="1"/>
        </w:numPr>
        <w:spacing w:after="0" w:before="0" w:lineRule="auto"/>
        <w:ind w:left="1440" w:hanging="360"/>
        <w:rPr>
          <w:i w:val="1"/>
        </w:rPr>
      </w:pPr>
      <w:r w:rsidDel="00000000" w:rsidR="00000000" w:rsidRPr="00000000">
        <w:rPr>
          <w:b w:val="1"/>
          <w:i w:val="1"/>
          <w:rtl w:val="0"/>
        </w:rPr>
        <w:t xml:space="preserve">Computed Barangay Share:</w:t>
      </w:r>
      <w:r w:rsidDel="00000000" w:rsidR="00000000" w:rsidRPr="00000000">
        <w:rPr>
          <w:rtl w:val="0"/>
        </w:rPr>
      </w:r>
    </w:p>
    <w:p w:rsidR="00000000" w:rsidDel="00000000" w:rsidP="00000000" w:rsidRDefault="00000000" w:rsidRPr="00000000" w14:paraId="0000000C">
      <w:pPr>
        <w:numPr>
          <w:ilvl w:val="2"/>
          <w:numId w:val="1"/>
        </w:numPr>
        <w:spacing w:after="240" w:before="0" w:lineRule="auto"/>
        <w:ind w:left="2160" w:hanging="360"/>
        <w:rPr>
          <w:i w:val="1"/>
        </w:rPr>
      </w:pPr>
      <w:r w:rsidDel="00000000" w:rsidR="00000000" w:rsidRPr="00000000">
        <w:rPr>
          <w:i w:val="1"/>
          <w:rtl w:val="0"/>
        </w:rPr>
        <w:t xml:space="preserve">BARANGAY SHARES (35%): </w:t>
      </w:r>
      <w:r w:rsidDel="00000000" w:rsidR="00000000" w:rsidRPr="00000000">
        <w:rPr>
          <w:i w:val="1"/>
          <w:u w:val="single"/>
          <w:rtl w:val="0"/>
        </w:rPr>
        <w:tab/>
        <w:tab/>
        <w:tab/>
        <w:tab/>
        <w:tab/>
        <w:tab/>
      </w: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ind w:left="0" w:firstLine="0"/>
        <w:rPr>
          <w:b w:val="1"/>
          <w:i w:val="1"/>
          <w:color w:val="000000"/>
          <w:sz w:val="22"/>
          <w:szCs w:val="22"/>
          <w:u w:val="single"/>
        </w:rPr>
      </w:pPr>
      <w:bookmarkStart w:colFirst="0" w:colLast="0" w:name="_heading=h.30j0zll" w:id="1"/>
      <w:bookmarkEnd w:id="1"/>
      <w:r w:rsidDel="00000000" w:rsidR="00000000" w:rsidRPr="00000000">
        <w:rPr>
          <w:b w:val="1"/>
          <w:i w:val="1"/>
          <w:color w:val="000000"/>
          <w:sz w:val="22"/>
          <w:szCs w:val="22"/>
          <w:u w:val="single"/>
          <w:rtl w:val="0"/>
        </w:rPr>
        <w:t xml:space="preserve">Section 2: Reviewing the Needs Assessment and 5-year SDMP</w:t>
      </w:r>
    </w:p>
    <w:p w:rsidR="00000000" w:rsidDel="00000000" w:rsidP="00000000" w:rsidRDefault="00000000" w:rsidRPr="00000000" w14:paraId="0000000E">
      <w:pPr>
        <w:numPr>
          <w:ilvl w:val="0"/>
          <w:numId w:val="2"/>
        </w:numPr>
        <w:spacing w:after="0" w:before="240" w:lineRule="auto"/>
        <w:ind w:left="720" w:hanging="360"/>
        <w:rPr>
          <w:i w:val="1"/>
        </w:rPr>
      </w:pPr>
      <w:r w:rsidDel="00000000" w:rsidR="00000000" w:rsidRPr="00000000">
        <w:rPr>
          <w:b w:val="1"/>
          <w:i w:val="1"/>
          <w:rtl w:val="0"/>
        </w:rPr>
        <w:t xml:space="preserve">Unmet Needs from the Communities:</w:t>
        <w:br w:type="textWrapping"/>
      </w:r>
      <w:r w:rsidDel="00000000" w:rsidR="00000000" w:rsidRPr="00000000">
        <w:rPr>
          <w:i w:val="1"/>
          <w:rtl w:val="0"/>
        </w:rPr>
        <w:t xml:space="preserve">(List the needs identified in the report. Focus on community challenges such as health, education, or infrastructure gaps.)</w:t>
      </w:r>
    </w:p>
    <w:p w:rsidR="00000000" w:rsidDel="00000000" w:rsidP="00000000" w:rsidRDefault="00000000" w:rsidRPr="00000000" w14:paraId="0000000F">
      <w:pPr>
        <w:numPr>
          <w:ilvl w:val="1"/>
          <w:numId w:val="2"/>
        </w:numPr>
        <w:spacing w:after="0" w:before="0" w:lineRule="auto"/>
        <w:ind w:left="1440" w:hanging="360"/>
        <w:rPr>
          <w:i w:val="1"/>
        </w:rPr>
      </w:pPr>
      <w:r w:rsidDel="00000000" w:rsidR="00000000" w:rsidRPr="00000000">
        <w:rPr>
          <w:i w:val="1"/>
          <w:rtl w:val="0"/>
        </w:rPr>
        <w:t xml:space="preserve">Occurrence of low income among the host and neighboring communities as manifested in the difficulty of meeting the minimum basic needs</w:t>
      </w:r>
    </w:p>
    <w:p w:rsidR="00000000" w:rsidDel="00000000" w:rsidP="00000000" w:rsidRDefault="00000000" w:rsidRPr="00000000" w14:paraId="00000010">
      <w:pPr>
        <w:numPr>
          <w:ilvl w:val="1"/>
          <w:numId w:val="2"/>
        </w:numPr>
        <w:spacing w:after="0" w:before="0" w:lineRule="auto"/>
        <w:ind w:left="1440" w:hanging="360"/>
        <w:rPr>
          <w:i w:val="1"/>
          <w:u w:val="none"/>
        </w:rPr>
      </w:pPr>
      <w:r w:rsidDel="00000000" w:rsidR="00000000" w:rsidRPr="00000000">
        <w:rPr>
          <w:i w:val="1"/>
          <w:rtl w:val="0"/>
        </w:rPr>
        <w:t xml:space="preserve">High incidence of health problems and diseases</w:t>
      </w:r>
    </w:p>
    <w:p w:rsidR="00000000" w:rsidDel="00000000" w:rsidP="00000000" w:rsidRDefault="00000000" w:rsidRPr="00000000" w14:paraId="00000011">
      <w:pPr>
        <w:numPr>
          <w:ilvl w:val="1"/>
          <w:numId w:val="2"/>
        </w:numPr>
        <w:spacing w:after="0" w:before="0" w:lineRule="auto"/>
        <w:ind w:left="1440" w:hanging="360"/>
        <w:rPr>
          <w:i w:val="1"/>
          <w:u w:val="none"/>
        </w:rPr>
      </w:pPr>
      <w:r w:rsidDel="00000000" w:rsidR="00000000" w:rsidRPr="00000000">
        <w:rPr>
          <w:i w:val="1"/>
          <w:rtl w:val="0"/>
        </w:rPr>
        <w:t xml:space="preserve">No access to potable water at Level II</w:t>
      </w:r>
    </w:p>
    <w:p w:rsidR="00000000" w:rsidDel="00000000" w:rsidP="00000000" w:rsidRDefault="00000000" w:rsidRPr="00000000" w14:paraId="00000012">
      <w:pPr>
        <w:numPr>
          <w:ilvl w:val="1"/>
          <w:numId w:val="2"/>
        </w:numPr>
        <w:spacing w:after="0" w:before="0" w:lineRule="auto"/>
        <w:ind w:left="1440" w:hanging="360"/>
        <w:rPr>
          <w:i w:val="1"/>
          <w:u w:val="none"/>
        </w:rPr>
      </w:pPr>
      <w:r w:rsidDel="00000000" w:rsidR="00000000" w:rsidRPr="00000000">
        <w:rPr>
          <w:i w:val="1"/>
          <w:rtl w:val="0"/>
        </w:rPr>
        <w:t xml:space="preserve">Unsanitary environment</w:t>
      </w:r>
    </w:p>
    <w:p w:rsidR="00000000" w:rsidDel="00000000" w:rsidP="00000000" w:rsidRDefault="00000000" w:rsidRPr="00000000" w14:paraId="00000013">
      <w:pPr>
        <w:numPr>
          <w:ilvl w:val="1"/>
          <w:numId w:val="2"/>
        </w:numPr>
        <w:spacing w:after="0" w:before="0" w:lineRule="auto"/>
        <w:ind w:left="1440" w:hanging="360"/>
        <w:rPr>
          <w:i w:val="1"/>
          <w:u w:val="none"/>
        </w:rPr>
      </w:pPr>
      <w:r w:rsidDel="00000000" w:rsidR="00000000" w:rsidRPr="00000000">
        <w:rPr>
          <w:i w:val="1"/>
          <w:rtl w:val="0"/>
        </w:rPr>
        <w:t xml:space="preserve">Low quality /standard of education </w:t>
      </w:r>
    </w:p>
    <w:p w:rsidR="00000000" w:rsidDel="00000000" w:rsidP="00000000" w:rsidRDefault="00000000" w:rsidRPr="00000000" w14:paraId="00000014">
      <w:pPr>
        <w:numPr>
          <w:ilvl w:val="1"/>
          <w:numId w:val="2"/>
        </w:numPr>
        <w:spacing w:after="0" w:before="0" w:lineRule="auto"/>
        <w:ind w:left="1440" w:hanging="360"/>
        <w:rPr>
          <w:i w:val="1"/>
          <w:u w:val="none"/>
        </w:rPr>
      </w:pPr>
      <w:r w:rsidDel="00000000" w:rsidR="00000000" w:rsidRPr="00000000">
        <w:rPr>
          <w:i w:val="1"/>
          <w:rtl w:val="0"/>
        </w:rPr>
        <w:t xml:space="preserve">A significant number of the population has not pursued higher education</w:t>
      </w:r>
    </w:p>
    <w:p w:rsidR="00000000" w:rsidDel="00000000" w:rsidP="00000000" w:rsidRDefault="00000000" w:rsidRPr="00000000" w14:paraId="00000015">
      <w:pPr>
        <w:spacing w:after="0" w:before="0" w:lineRule="auto"/>
        <w:rPr>
          <w:i w:val="1"/>
        </w:rPr>
      </w:pPr>
      <w:r w:rsidDel="00000000" w:rsidR="00000000" w:rsidRPr="00000000">
        <w:rPr>
          <w:rtl w:val="0"/>
        </w:rPr>
      </w:r>
    </w:p>
    <w:p w:rsidR="00000000" w:rsidDel="00000000" w:rsidP="00000000" w:rsidRDefault="00000000" w:rsidRPr="00000000" w14:paraId="00000016">
      <w:pPr>
        <w:numPr>
          <w:ilvl w:val="0"/>
          <w:numId w:val="2"/>
        </w:numPr>
        <w:spacing w:after="240" w:before="0" w:lineRule="auto"/>
        <w:ind w:left="720" w:hanging="360"/>
        <w:rPr>
          <w:b w:val="1"/>
          <w:i w:val="1"/>
        </w:rPr>
      </w:pPr>
      <w:r w:rsidDel="00000000" w:rsidR="00000000" w:rsidRPr="00000000">
        <w:rPr>
          <w:b w:val="1"/>
          <w:i w:val="1"/>
          <w:rtl w:val="0"/>
        </w:rPr>
        <w:t xml:space="preserve">SDMP Projects 2019-2023. </w:t>
      </w:r>
      <w:r w:rsidDel="00000000" w:rsidR="00000000" w:rsidRPr="00000000">
        <w:rPr>
          <w:rtl w:val="0"/>
        </w:rPr>
        <w:t xml:space="preserve">Review the projects identified in the 5-year SDMP 2019-2023.</w:t>
      </w: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ind w:left="0" w:firstLine="0"/>
        <w:rPr>
          <w:b w:val="1"/>
          <w:i w:val="1"/>
          <w:color w:val="000000"/>
          <w:sz w:val="22"/>
          <w:szCs w:val="22"/>
          <w:u w:val="single"/>
        </w:rPr>
      </w:pPr>
      <w:bookmarkStart w:colFirst="0" w:colLast="0" w:name="_heading=h.1fob9te" w:id="2"/>
      <w:bookmarkEnd w:id="2"/>
      <w:r w:rsidDel="00000000" w:rsidR="00000000" w:rsidRPr="00000000">
        <w:rPr>
          <w:b w:val="1"/>
          <w:i w:val="1"/>
          <w:color w:val="000000"/>
          <w:sz w:val="22"/>
          <w:szCs w:val="22"/>
          <w:u w:val="single"/>
          <w:rtl w:val="0"/>
        </w:rPr>
        <w:t xml:space="preserve">Section 3: Project Proposal. </w:t>
      </w:r>
    </w:p>
    <w:p w:rsidR="00000000" w:rsidDel="00000000" w:rsidP="00000000" w:rsidRDefault="00000000" w:rsidRPr="00000000" w14:paraId="00000018">
      <w:pPr>
        <w:pStyle w:val="Heading4"/>
        <w:keepNext w:val="0"/>
        <w:keepLines w:val="0"/>
        <w:spacing w:after="40" w:before="240" w:lineRule="auto"/>
        <w:ind w:left="0" w:firstLine="0"/>
        <w:rPr>
          <w:b w:val="1"/>
        </w:rPr>
      </w:pPr>
      <w:bookmarkStart w:colFirst="0" w:colLast="0" w:name="_heading=h.aev7ulcozryb" w:id="3"/>
      <w:bookmarkEnd w:id="3"/>
      <w:r w:rsidDel="00000000" w:rsidR="00000000" w:rsidRPr="00000000">
        <w:rPr>
          <w:color w:val="000000"/>
          <w:sz w:val="22"/>
          <w:szCs w:val="22"/>
          <w:rtl w:val="0"/>
        </w:rPr>
        <w:t xml:space="preserve">Propose a project to the Sangguniang Barangay of Biga, host of Carmen Copper Corporation, worth 10% of their LGU shares from national wealth for fiscal year 2019. Make sure it meets the needs of the community and complements the 2019-2023 SDMP.</w:t>
      </w:r>
      <w:r w:rsidDel="00000000" w:rsidR="00000000" w:rsidRPr="00000000">
        <w:rPr>
          <w:rtl w:val="0"/>
        </w:rPr>
      </w:r>
    </w:p>
    <w:p w:rsidR="00000000" w:rsidDel="00000000" w:rsidP="00000000" w:rsidRDefault="00000000" w:rsidRPr="00000000" w14:paraId="00000019">
      <w:pPr>
        <w:numPr>
          <w:ilvl w:val="0"/>
          <w:numId w:val="3"/>
        </w:numPr>
        <w:spacing w:after="240" w:before="240" w:lineRule="auto"/>
        <w:ind w:left="720" w:hanging="360"/>
        <w:rPr>
          <w:i w:val="1"/>
        </w:rPr>
      </w:pPr>
      <w:r w:rsidDel="00000000" w:rsidR="00000000" w:rsidRPr="00000000">
        <w:rPr>
          <w:b w:val="1"/>
          <w:i w:val="1"/>
          <w:rtl w:val="0"/>
        </w:rPr>
        <w:t xml:space="preserve">Project Title:</w:t>
        <w:br w:type="textWrapping"/>
      </w:r>
      <w:r w:rsidDel="00000000" w:rsidR="00000000" w:rsidRPr="00000000">
        <w:rPr>
          <w:i w:val="1"/>
          <w:rtl w:val="0"/>
        </w:rPr>
        <w:t xml:space="preserve">(Provide a brief, descriptive title for the project proposal.)</w:t>
      </w:r>
    </w:p>
    <w:p w:rsidR="00000000" w:rsidDel="00000000" w:rsidP="00000000" w:rsidRDefault="00000000" w:rsidRPr="00000000" w14:paraId="0000001A">
      <w:pPr>
        <w:spacing w:after="240" w:before="240" w:lineRule="auto"/>
        <w:rPr>
          <w:i w:val="1"/>
        </w:rPr>
      </w:pPr>
      <w:r w:rsidDel="00000000" w:rsidR="00000000" w:rsidRPr="00000000">
        <w:rPr>
          <w:rtl w:val="0"/>
        </w:rPr>
      </w:r>
    </w:p>
    <w:p w:rsidR="00000000" w:rsidDel="00000000" w:rsidP="00000000" w:rsidRDefault="00000000" w:rsidRPr="00000000" w14:paraId="0000001B">
      <w:pPr>
        <w:numPr>
          <w:ilvl w:val="0"/>
          <w:numId w:val="3"/>
        </w:numPr>
        <w:spacing w:after="240" w:before="240" w:lineRule="auto"/>
        <w:ind w:left="720" w:hanging="360"/>
        <w:rPr>
          <w:i w:val="1"/>
        </w:rPr>
      </w:pPr>
      <w:r w:rsidDel="00000000" w:rsidR="00000000" w:rsidRPr="00000000">
        <w:rPr>
          <w:b w:val="1"/>
          <w:i w:val="1"/>
          <w:rtl w:val="0"/>
        </w:rPr>
        <w:t xml:space="preserve">Objective and Description of the Project:</w:t>
        <w:br w:type="textWrapping"/>
      </w:r>
      <w:r w:rsidDel="00000000" w:rsidR="00000000" w:rsidRPr="00000000">
        <w:rPr>
          <w:i w:val="1"/>
          <w:rtl w:val="0"/>
        </w:rPr>
        <w:t xml:space="preserve">(What is the main objective of the project? Specify which need from the SIA report this project addresses.)</w:t>
      </w:r>
    </w:p>
    <w:p w:rsidR="00000000" w:rsidDel="00000000" w:rsidP="00000000" w:rsidRDefault="00000000" w:rsidRPr="00000000" w14:paraId="0000001C">
      <w:pPr>
        <w:spacing w:after="240" w:before="240" w:lineRule="auto"/>
        <w:rPr>
          <w:b w:val="1"/>
          <w:i w:val="1"/>
        </w:rPr>
      </w:pPr>
      <w:r w:rsidDel="00000000" w:rsidR="00000000" w:rsidRPr="00000000">
        <w:rPr>
          <w:rtl w:val="0"/>
        </w:rPr>
      </w:r>
    </w:p>
    <w:p w:rsidR="00000000" w:rsidDel="00000000" w:rsidP="00000000" w:rsidRDefault="00000000" w:rsidRPr="00000000" w14:paraId="0000001D">
      <w:pPr>
        <w:numPr>
          <w:ilvl w:val="0"/>
          <w:numId w:val="3"/>
        </w:numPr>
        <w:spacing w:after="240" w:before="240" w:lineRule="auto"/>
        <w:ind w:left="720" w:hanging="360"/>
        <w:rPr>
          <w:i w:val="1"/>
        </w:rPr>
      </w:pPr>
      <w:r w:rsidDel="00000000" w:rsidR="00000000" w:rsidRPr="00000000">
        <w:rPr>
          <w:b w:val="1"/>
          <w:i w:val="1"/>
          <w:rtl w:val="0"/>
        </w:rPr>
        <w:t xml:space="preserve">Proposed Budget (using computed barangay share):</w:t>
        <w:br w:type="textWrapping"/>
      </w:r>
      <w:r w:rsidDel="00000000" w:rsidR="00000000" w:rsidRPr="00000000">
        <w:rPr>
          <w:i w:val="1"/>
          <w:rtl w:val="0"/>
        </w:rPr>
        <w:t xml:space="preserve">(Present a rough estimate of the project cost. Ensure that the project budget aligns with the computed barangay share from the national wealth.)</w:t>
      </w:r>
    </w:p>
    <w:p w:rsidR="00000000" w:rsidDel="00000000" w:rsidP="00000000" w:rsidRDefault="00000000" w:rsidRPr="00000000" w14:paraId="0000001E">
      <w:pPr>
        <w:spacing w:after="240" w:before="240" w:lineRule="auto"/>
        <w:rPr>
          <w:b w:val="1"/>
          <w:i w:val="1"/>
        </w:rPr>
      </w:pPr>
      <w:r w:rsidDel="00000000" w:rsidR="00000000" w:rsidRPr="00000000">
        <w:rPr>
          <w:rtl w:val="0"/>
        </w:rPr>
      </w:r>
    </w:p>
    <w:p w:rsidR="00000000" w:rsidDel="00000000" w:rsidP="00000000" w:rsidRDefault="00000000" w:rsidRPr="00000000" w14:paraId="0000001F">
      <w:pPr>
        <w:numPr>
          <w:ilvl w:val="0"/>
          <w:numId w:val="3"/>
        </w:numPr>
        <w:spacing w:after="240" w:before="240" w:lineRule="auto"/>
        <w:ind w:left="720" w:hanging="360"/>
        <w:rPr>
          <w:i w:val="1"/>
        </w:rPr>
      </w:pPr>
      <w:r w:rsidDel="00000000" w:rsidR="00000000" w:rsidRPr="00000000">
        <w:rPr>
          <w:b w:val="1"/>
          <w:i w:val="1"/>
          <w:rtl w:val="0"/>
        </w:rPr>
        <w:t xml:space="preserve">Project Timeline:</w:t>
        <w:br w:type="textWrapping"/>
      </w:r>
      <w:r w:rsidDel="00000000" w:rsidR="00000000" w:rsidRPr="00000000">
        <w:rPr>
          <w:i w:val="1"/>
          <w:rtl w:val="0"/>
        </w:rPr>
        <w:t xml:space="preserve">(Provide a basic timeline for implementing the project. Indicate phases of development such as planning, construction, or service rollout, and specify key milestones.)</w:t>
      </w:r>
    </w:p>
    <w:p w:rsidR="00000000" w:rsidDel="00000000" w:rsidP="00000000" w:rsidRDefault="00000000" w:rsidRPr="00000000" w14:paraId="00000020">
      <w:pPr>
        <w:spacing w:after="240" w:before="240" w:lineRule="auto"/>
        <w:rPr>
          <w:b w:val="1"/>
          <w:i w:val="1"/>
        </w:rPr>
      </w:pPr>
      <w:r w:rsidDel="00000000" w:rsidR="00000000" w:rsidRPr="00000000">
        <w:rPr>
          <w:rtl w:val="0"/>
        </w:rPr>
      </w:r>
    </w:p>
    <w:p w:rsidR="00000000" w:rsidDel="00000000" w:rsidP="00000000" w:rsidRDefault="00000000" w:rsidRPr="00000000" w14:paraId="00000021">
      <w:pPr>
        <w:numPr>
          <w:ilvl w:val="0"/>
          <w:numId w:val="3"/>
        </w:numPr>
        <w:spacing w:after="240" w:before="240" w:lineRule="auto"/>
        <w:ind w:left="720" w:hanging="360"/>
        <w:rPr>
          <w:i w:val="1"/>
        </w:rPr>
      </w:pPr>
      <w:r w:rsidDel="00000000" w:rsidR="00000000" w:rsidRPr="00000000">
        <w:rPr>
          <w:b w:val="1"/>
          <w:i w:val="1"/>
          <w:rtl w:val="0"/>
        </w:rPr>
        <w:t xml:space="preserve">Community Involvement and Monitoring Plan:</w:t>
        <w:br w:type="textWrapping"/>
      </w:r>
      <w:r w:rsidDel="00000000" w:rsidR="00000000" w:rsidRPr="00000000">
        <w:rPr>
          <w:i w:val="1"/>
          <w:rtl w:val="0"/>
        </w:rPr>
        <w:t xml:space="preserve">(How will the community be involved in the planning and implementation of this project? Outline any strategies for monitoring progress and ensuring transparency.)</w:t>
      </w:r>
    </w:p>
    <w:p w:rsidR="00000000" w:rsidDel="00000000" w:rsidP="00000000" w:rsidRDefault="00000000" w:rsidRPr="00000000" w14:paraId="00000022">
      <w:pPr>
        <w:spacing w:after="240" w:before="240" w:lineRule="auto"/>
        <w:rPr>
          <w:i w:val="1"/>
        </w:rPr>
      </w:pPr>
      <w:r w:rsidDel="00000000" w:rsidR="00000000" w:rsidRPr="00000000">
        <w:rPr>
          <w:rtl w:val="0"/>
        </w:rPr>
      </w:r>
    </w:p>
    <w:p w:rsidR="00000000" w:rsidDel="00000000" w:rsidP="00000000" w:rsidRDefault="00000000" w:rsidRPr="00000000" w14:paraId="00000023">
      <w:pPr>
        <w:numPr>
          <w:ilvl w:val="0"/>
          <w:numId w:val="3"/>
        </w:numPr>
        <w:spacing w:after="240" w:before="240" w:lineRule="auto"/>
        <w:ind w:left="720" w:hanging="360"/>
        <w:rPr>
          <w:i w:val="1"/>
        </w:rPr>
      </w:pPr>
      <w:r w:rsidDel="00000000" w:rsidR="00000000" w:rsidRPr="00000000">
        <w:rPr>
          <w:b w:val="1"/>
          <w:i w:val="1"/>
          <w:rtl w:val="0"/>
        </w:rPr>
        <w:t xml:space="preserve">Sustainability Considerations:</w:t>
        <w:br w:type="textWrapping"/>
      </w:r>
      <w:r w:rsidDel="00000000" w:rsidR="00000000" w:rsidRPr="00000000">
        <w:rPr>
          <w:i w:val="1"/>
          <w:rtl w:val="0"/>
        </w:rPr>
        <w:t xml:space="preserve">(Briefly discuss how the proposed project will remain sustainable in the long term and continue benefiting the community after its initial implementation.)</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g+dvmT/YodSoo56TU79pB6fkQ==">CgMxLjAyCGguZ2pkZ3hzMgloLjMwajB6bGwyCWguMWZvYjl0ZTIOaC5hZXY3dWxjb3pyeWI4AHIhMVJNaFRjaU9abGpHbzdTbU5iMm92Q1YwekxjMFhuMlRB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